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REGULAMIN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rozliczania kosztów dostarczonej wody i odprowadzonych ścieków w lokalach mieszkalnych                   i użytkowych zarządzanych przez </w:t>
      </w:r>
      <w:r>
        <w:rPr>
          <w:rFonts w:cs="Times New Roman" w:ascii="Times New Roman" w:hAnsi="Times New Roman"/>
          <w:b/>
        </w:rPr>
        <w:t>ZBM Sp. z o.o. w Piławie Górnej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Podstawy prawne: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1. Ustawa z dnia 7 czerwca 2001 r. o zbiorowym zaopatrzeniu w wodę i zbiorowym odprowadzaniu ścieków ( Dz. U. 2001 Nr 72 poz.747 z późn. zm.; t.j. Dz.U z 2020r. poz.2028))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2. Ustawa z dnia 11 maja 2001 r. Prawo o miarach (Dz. U. 2001 NR 63 poz. 636 z późn. zm.; t.j. Dz.U. z 2021r. poz.2068)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3. Rozporządzenie Ministra Infrastruktury z dnia 14 stycznia 2002 r. w sprawie określenia przeciętnych norm zużycia wody (Dz. U. 2002  Nr 8, poz. 70)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4. Rozporządzenie Ministra Spraw Wewnętrznych i Administracji z dnia 16 sierpnia 1999 r. w sprawie warunków technicznych użytkowania budynków mieszkalnych (Dz. U. 1999 Nr 74, poz. 836 z późn. zm.)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5. Rozporządzenie Ministra Gospodarki z dnia 7 stycznia 2008 r. w sprawie prawnej kontroli metrologicznej przyrządów pomiarowych (Dz. U. 2008 Nr 5, poz.29 z późn. zm.)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6. Ustawa o własności lokali z dnia 24 czerwca 1994 r. (Dz. U. 1994 Nr 85 z późn. zm.; t.j. Dz.U. z 2021r. Poz.1048)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 w:val="false"/>
          <w:bCs w:val="false"/>
        </w:rPr>
        <w:t xml:space="preserve">7.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</w:rPr>
        <w:t>Ustawa z dnia 23 kwietnia 1964 r. - Kodeks cywilny (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</w:rPr>
        <w:t xml:space="preserve">Dz. U. 1964 Nr 16 poz. 93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</w:rPr>
        <w:t>z późn. zm.; t.j. Dz.U. z 2020r.poz.1740, 2320, z 2021r.poz.1059))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Postanowienia ogólne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</w:rPr>
        <w:t>§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Postanowienia niniejszego regulaminu mają zastosowanie przy rozliczeniach wszystkich lokali mieszkalnych  i użytkowych, które  znajdują się pod zarządem ZBM Sp. z o.o. w Piławie Górnej.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</w:rPr>
        <w:t>§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Użyte w regulaminie określenia oznaczają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1) Dostawca – Wodociągi i Kanalizacja  Spółka z o.o. w Dzierżoniowie,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2) Zarządca / Administracja – ZBM Sp. z o.o. w Piławie Górnej,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</w:rPr>
        <w:t>3) Użytkownik – właściciel, najemca lub osoby zajmujące/użytkujące lokal bez tytułu prawnego, zobowiązani do uiszczania miesięcznych zaliczek,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4) osoba korzystająca z lokalu – w odniesieniu do lokalu mieszkalnego: osoba faktycznie korzystająca           z lokalu; w odniesieniu do lokalu użytkowego: użytkownik lokalu </w:t>
      </w:r>
      <w:r>
        <w:rPr>
          <w:rFonts w:eastAsia="" w:cs="Times New Roman" w:ascii="Times New Roman" w:hAnsi="Times New Roman" w:eastAsiaTheme="minorEastAsia"/>
        </w:rPr>
        <w:t>oraz osoba w lokalu zatrudniona bez względu na podstawę prawną zatrudnienia,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cs="Times New Roman" w:ascii="Times New Roman" w:hAnsi="Times New Roman" w:eastAsiaTheme="minorEastAsia"/>
        </w:rPr>
        <w:t xml:space="preserve">5) lokal </w:t>
      </w:r>
      <w:r>
        <w:rPr>
          <w:rFonts w:eastAsia="" w:cs="Times New Roman" w:ascii="Times New Roman" w:hAnsi="Times New Roman" w:eastAsiaTheme="minorEastAsia"/>
          <w:b/>
          <w:bCs/>
        </w:rPr>
        <w:t xml:space="preserve">– </w:t>
      </w:r>
      <w:r>
        <w:rPr>
          <w:rFonts w:eastAsia="" w:cs="Times New Roman" w:ascii="Times New Roman" w:hAnsi="Times New Roman" w:eastAsiaTheme="minorEastAsia"/>
        </w:rPr>
        <w:t>lokal mieszkalny lub lokal użytkowy, wyposażony w punkty czerpalne wody,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cs="Times New Roman" w:ascii="Times New Roman" w:hAnsi="Times New Roman" w:eastAsiaTheme="minorEastAsia"/>
          <w:iCs/>
        </w:rPr>
        <w:t>6) lokal opomiarowany – lokal mieszkalny lub użytkowy wyposażony w sprawne, nieuszkodzone wodomierze indywidualne z ważnymi cechami legalizacyjnymi i założonymi plombami, w którym opomiarowane są wszystkie ujęcia wody,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cs="Times New Roman" w:ascii="Times New Roman" w:hAnsi="Times New Roman" w:eastAsiaTheme="minorEastAsia"/>
        </w:rPr>
        <w:t xml:space="preserve">7) </w:t>
      </w:r>
      <w:r>
        <w:rPr>
          <w:rFonts w:eastAsia="" w:cs="Times New Roman" w:ascii="Times New Roman" w:hAnsi="Times New Roman" w:eastAsiaTheme="minorEastAsia"/>
          <w:iCs/>
        </w:rPr>
        <w:t>lokal nieopomiarowany – lokal, który nie posiada zainstalowanego wodomierza,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8) wodomierz główny – przyrząd pomiarowy mierzący ilość dostarczonej wody do budynku, znajdujący się na przyłączu wodociągowym,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9) wodomierz indywidualny – przyrząd pomiarowy wskazujący ilość pobranej wody w lokalu,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</w:rPr>
        <w:t>10) cena wody / ścieków - opłata za 1m3 wody pobieranej z urządzeń zbiorowego zaopatrzenia / ścieków odprowadzanych do urządzeń kanalizacyjnych, ustalona w taryfie obowiązującej na terenie miasta Piława Górna,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11) odczyt wodomierza – stwierdzenie stanu wskazań liczydła wodomierza przyjętego do rozliczenia,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12) </w:t>
      </w:r>
      <w:r>
        <w:rPr>
          <w:rFonts w:cs="Times New Roman" w:ascii="Times New Roman" w:hAnsi="Times New Roman"/>
          <w:iCs/>
        </w:rPr>
        <w:t>okres rozliczeniowy – okres czasu, po upływie którego dokonywane jest rozliczenie kosztów oraz naliczonych dla użytkowników miesięcznych zaliczek za dostarczanie wody i odprowadzanie ścieków; zwykle rok kalendarzowy,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13) zaliczka </w:t>
      </w:r>
      <w:r>
        <w:rPr>
          <w:rFonts w:cs="Times New Roman" w:ascii="Times New Roman" w:hAnsi="Times New Roman"/>
          <w:b/>
          <w:bCs/>
        </w:rPr>
        <w:t xml:space="preserve">– </w:t>
      </w:r>
      <w:r>
        <w:rPr>
          <w:rFonts w:cs="Times New Roman" w:ascii="Times New Roman" w:hAnsi="Times New Roman"/>
        </w:rPr>
        <w:t>miesięczna opłata użytkowników lokali, obliczana w oparciu o średnie zużycie wody               w okresach poprzednich, rozliczana okresowo w oparciu o wskazania wodomierzy indywidualnych.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Zasady rozliczeń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§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1) Rozliczenie </w:t>
      </w:r>
      <w:r>
        <w:rPr>
          <w:rFonts w:cs="Times New Roman" w:ascii="Times New Roman" w:hAnsi="Times New Roman"/>
          <w:b/>
        </w:rPr>
        <w:t>kosztów</w:t>
      </w:r>
      <w:r>
        <w:rPr>
          <w:rFonts w:cs="Times New Roman" w:ascii="Times New Roman" w:hAnsi="Times New Roman"/>
        </w:rPr>
        <w:t xml:space="preserve"> zakupu wody/odbioru ścieków dokonywane jest według wskazań wodomierzy głównych, na podstawie otrzymywanych faktur od Dostawcy.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2) Użytkownik lokalu uiszcza opłaty za zużycie wody i odprowadzanie ścieków w formie miesięcznych zaliczek, rozliczanych po zakończeniu okresu rozliczeniowego. Kwotę miesięcznej zaliczki, płatnej do 10 dnia każdego miesiąca wraz z miesięcznymi opłatami czynszowymi, ustala się na podstawie prognozowanego zużycia pomnożonego przez cenę 1 m³ wody i ścieków.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3) Przyjmuje się, że okres rozliczeniowy trwa  od 1 stycznia do 31 grudnia każdego roku , w szczególnych przypadkach może on być inny.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4) </w:t>
      </w:r>
      <w:r>
        <w:rPr>
          <w:rFonts w:eastAsia="" w:cs="Times New Roman" w:ascii="Times New Roman" w:hAnsi="Times New Roman" w:eastAsiaTheme="minorEastAsia"/>
        </w:rPr>
        <w:t>Po zakończeniu okresu rozliczeniowego</w:t>
      </w:r>
      <w:r>
        <w:rPr>
          <w:rFonts w:cs="Times New Roman" w:ascii="Times New Roman" w:hAnsi="Times New Roman"/>
        </w:rPr>
        <w:t>, na podstawie wskazań wodomierzy indywidualnych, dokonywane jest  rozliczenie opłat wnoszonych przez każdego użytkownika lokalu. Koszt wskazanego przez wodomierz zużycia wody,  bilansowany jest z naliczonymi zaliczkami.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5) W przypadku nadwyżki (nadpłaty) wniesionych przez użytkownika miesięcznych zaliczek nad kosztami, kwotę nadwyżki zalicza się na poczet przyszłych opłat.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W przypadku niedoboru (niedopłaty) wniesionych przez użytkownika miesięcznych zaliczek nad kosztami, użytkownik zobowiązany jest do dopłaty brakującej kwoty przy najbliższej opłacie za lokal.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6)  Różnica, pomiędzy zużyciem wskazanym na wodomierzu głównym, a sumą wskazań z wodomierzy indywidualnych (niedobór/uchyb),  rozliczana jest: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a)   w lokalach opomiarowanych: na każdy lokal wg ilości osób zgłoszonych jako zamieszkujące 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</w:rPr>
        <w:t>w przypadku stwierdzenia, że w lokalu zamieszkuje większa ilość osób niż zgłoszona, do rozliczenia niedoboru  zostanie zastosowany iloczyn zaktualizowanej ilości osób x 2</w:t>
      </w:r>
      <w:r>
        <w:rPr>
          <w:rFonts w:cs="Times New Roman" w:ascii="Times New Roman" w:hAnsi="Times New Roman"/>
        </w:rPr>
        <w:t>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b) w lokalach nieopomiarowanych: na podstawie zużycia zarejestrowanego na wodomierzu głównym pomniejszonego o sumę wskazań z wodomierzy indywidualnych, z uwzględnieniem przeciętnej normy zużycia wody wg właściwego rozporządzenia, liczby osób zamieszkałych w lokalu i współczynnika korygującego obliczonego dla danego budynku (10% niedoboru rozliczone zostanie na wszystkich mieszkańców, pozostały  niedobór  na lokale nieopomiarowane).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7) Wszelkie zmiany ilości osób korzystających  z lokalu winny być niezwłocznie zgłaszane do Zarządcy.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8) Po zakończeniu rozliczeń, użytkownicy otrzymują pisemną informację o wyniku rozliczenia ich lokalu.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Ewentualne odwołanie od wyniku rozliczenia, użytkownik może złożyć pisemnie, w terminie 14 dni od daty otrzymania.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Z dniem 31 marca każdego roku rozliczenia zostają ostatecznie zamknięte.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Ponowne rozliczenie jest możliwe na wniosek zainteresowanego użytkownika, za dodatkową opłatą zgodną z aktualnym cennikiem Spółki.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9) Z początkiem nowego okresu rozliczeniowego Zarządca dokonuje aktualizacji wysokości miesięcznej zaliczki  na poczet rozliczeń z tytułu dostawy wody / odbioru ścieków.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Odczyty i eksploatacja wodomierzy indywidualnych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§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1) Odczytów wodomierzy indywidualnych: </w:t>
      </w:r>
      <w:r>
        <w:rPr>
          <w:rFonts w:cs="Times New Roman" w:ascii="Times New Roman" w:hAnsi="Times New Roman"/>
          <w:i w:val="false"/>
          <w:iCs w:val="false"/>
        </w:rPr>
        <w:t>kontrolnie - w wyznaczonych terminach,  zawsze w przypadku zmiany ceny wody oraz dla potrzeb rozliczeń: w grudniu każdego roku - d</w:t>
      </w:r>
      <w:r>
        <w:rPr>
          <w:rFonts w:cs="Times New Roman" w:ascii="Times New Roman" w:hAnsi="Times New Roman"/>
        </w:rPr>
        <w:t>okonują użytkownicy lokali               i dostarczają do ZBM Sp. z o.o. w Piławie Górnej w formie: pisemnej, mailowej lub telefonicznie.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Odczytów dokonuje się   z dokładnością do 1 m³.</w:t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Cs/>
        </w:rPr>
        <w:t>Odczyt powinien zawierać następujące informacje: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nazwisko i imię użytkownika,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adres lokalu,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data odczytu,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numery wodomierzy,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stany wodomierzy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Zarządca zastrzega sobie prawo do dokonywania kontrolnych odczytów stanu wodomierza indywidualnego w lokalu oraz posiadanych cech legalizacji wodomierzy. Z wnioskiem o dokonanie odczytu kontrolnego może wystąpić również użytkownik.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2) W przypadku zmiany użytkownika lokalu lub wykupu lokalu, w siedzibie Zarządcy należy złożyć pisemne oświadczenie o stanie wodomierza, który będzie przyjęty do rozliczeń.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Użytkownicy, z naliczonych zaliczek, zostaną rozliczeni za pełne miesiące kalendarzowe.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Przekazywane w I kwartale roku następnego rozliczenie lokalu, będzie również uwzględniało rozliczenie kosztów zużycia wody i odbioru ścieków.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3) W przypadku niedostarczenia odczytu wodomierza indywidualnego przez użytkownika lokalu we wskazanym terminie, zużycie wody zostanie oszacowane na podstawie minionego okresu, a niedobór przypisany jak do lokalu </w:t>
      </w:r>
      <w:r>
        <w:rPr>
          <w:rFonts w:eastAsia="" w:cs="Times New Roman" w:ascii="Times New Roman" w:hAnsi="Times New Roman" w:eastAsiaTheme="minorEastAsia"/>
        </w:rPr>
        <w:t>nieopomiarowanego.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ascii="Times New Roman" w:hAnsi="Times New Roman" w:eastAsiaTheme="minorEastAsia"/>
        </w:rPr>
        <w:t>4) Wodomierze indywidualne podlegają okresowej legalizacji zgodnie z właściwym rozporządzeniem w sprawie prawnej kontroli metrologicznej przyrządów pomiarowych, tj. raz na 5 lat.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5) </w:t>
      </w:r>
      <w:r>
        <w:rPr>
          <w:rFonts w:eastAsia="" w:cs="Times New Roman" w:ascii="Times New Roman" w:hAnsi="Times New Roman" w:eastAsiaTheme="minorEastAsia"/>
        </w:rPr>
        <w:t>Właściciel wodomierza zobowiązany jest do legalizacji przyrządu bądź wymiany na nowy przed upływem terminu ważności dotychczas obowiązującego dowodu legalizacji. Fakt wymiany wodomierza na zalegalizowany lub nowy, powinien być z wyprzedzeniem zgłoszony do Zarządcy.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cs="Times New Roman" w:ascii="Times New Roman" w:hAnsi="Times New Roman" w:eastAsiaTheme="minorEastAsia"/>
        </w:rPr>
        <w:t>6) Montaż nowego wodomierza powinien zostać przeprowadzony zgodnie z obowiązującymi przepisami, przez osobę uprawnioną.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cs="Times New Roman" w:ascii="Times New Roman" w:hAnsi="Times New Roman" w:eastAsiaTheme="minorEastAsia"/>
        </w:rPr>
        <w:t xml:space="preserve">7) Plombowanie wodomierza wykonywane jest </w:t>
      </w:r>
      <w:r>
        <w:rPr>
          <w:rFonts w:eastAsia="" w:cs="Times New Roman" w:ascii="Times New Roman" w:hAnsi="Times New Roman" w:eastAsiaTheme="minorEastAsia"/>
          <w:b/>
          <w:bCs/>
        </w:rPr>
        <w:t>wyłącznie</w:t>
      </w:r>
      <w:r>
        <w:rPr>
          <w:rFonts w:eastAsia="" w:cs="Times New Roman" w:ascii="Times New Roman" w:hAnsi="Times New Roman" w:eastAsiaTheme="minorEastAsia"/>
        </w:rPr>
        <w:t xml:space="preserve"> przez osobę wskazaną przez Zarządcę.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cs="Times New Roman" w:ascii="Times New Roman" w:hAnsi="Times New Roman" w:eastAsiaTheme="minorEastAsia"/>
        </w:rPr>
        <w:t xml:space="preserve">Osoba plombująca, z wykonanej usługi sporządza stosowny protokół.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cs="Times New Roman" w:ascii="Times New Roman" w:hAnsi="Times New Roman" w:eastAsiaTheme="minorEastAsia"/>
        </w:rPr>
        <w:t>Koszt plombowania jak również wymiany wodomierza obciąża właściciela lokalu.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" w:cs="Times New Roman" w:ascii="Times New Roman" w:hAnsi="Times New Roman" w:eastAsiaTheme="minorEastAsia"/>
        </w:rPr>
        <w:t>8) W przypadku stwierdzenia: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Cs/>
        </w:rPr>
      </w:pPr>
      <w:r>
        <w:rPr>
          <w:rFonts w:eastAsia="" w:cs="Times New Roman" w:ascii="Times New Roman" w:hAnsi="Times New Roman" w:eastAsiaTheme="minorEastAsia"/>
          <w:iCs/>
        </w:rPr>
        <w:t>uszkodzenia wodomierza, które nie zostało zgłoszone administracji,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eastAsia="" w:cs="" w:asciiTheme="minorHAnsi" w:cstheme="minorBidi" w:eastAsiaTheme="minorEastAsia" w:hAnsiTheme="minorHAnsi"/>
        </w:rPr>
      </w:pPr>
      <w:r>
        <w:rPr>
          <w:rFonts w:eastAsia="" w:cs="Times New Roman" w:ascii="Times New Roman" w:hAnsi="Times New Roman" w:eastAsiaTheme="minorEastAsia"/>
          <w:iCs/>
        </w:rPr>
        <w:t>zamierzonego działania użytkownika w celu zafałszowania wskazań wodomierza,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eastAsia="" w:cs="" w:asciiTheme="minorHAnsi" w:cstheme="minorBidi" w:eastAsiaTheme="minorEastAsia" w:hAnsiTheme="minorHAnsi"/>
        </w:rPr>
      </w:pPr>
      <w:r>
        <w:rPr>
          <w:rFonts w:eastAsia="" w:cs="Times New Roman" w:ascii="Times New Roman" w:hAnsi="Times New Roman" w:eastAsiaTheme="minorEastAsia"/>
          <w:iCs/>
        </w:rPr>
        <w:t>utraty ważności cechy legalizacyjnej wodomierza oraz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eastAsia="" w:cs="" w:asciiTheme="minorHAnsi" w:cstheme="minorBidi" w:eastAsiaTheme="minorEastAsia" w:hAnsiTheme="minorHAnsi"/>
        </w:rPr>
      </w:pPr>
      <w:r>
        <w:rPr>
          <w:rFonts w:eastAsia="" w:cs="Times New Roman" w:ascii="Times New Roman" w:hAnsi="Times New Roman" w:eastAsiaTheme="minorEastAsia"/>
          <w:iCs/>
        </w:rPr>
        <w:t>braku lub uszkodzenia plomby założonej przez ZBM Sp. z o.o. w Piławie Górnej  na połączeniu wodomierza z przyłączem wody,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eastAsia="" w:cs="" w:asciiTheme="minorHAnsi" w:cstheme="minorBidi" w:eastAsiaTheme="minorEastAsia" w:hAnsiTheme="minorHAnsi"/>
        </w:rPr>
      </w:pPr>
      <w:r>
        <w:rPr>
          <w:rFonts w:eastAsia="" w:cs="Times New Roman" w:ascii="Times New Roman" w:hAnsi="Times New Roman" w:eastAsiaTheme="minorEastAsia"/>
          <w:iCs/>
        </w:rPr>
        <w:t>poboru wody z pominięciem wodomierza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highlight w:val="cyan"/>
        </w:rPr>
      </w:pPr>
      <w:r>
        <w:rPr>
          <w:rFonts w:eastAsia="" w:cs="Times New Roman" w:ascii="Times New Roman" w:hAnsi="Times New Roman" w:eastAsiaTheme="minorEastAsia"/>
          <w:b/>
        </w:rPr>
        <w:t>lokal rozliczany będzie jak lokal nieopomiarowany.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cs="Times New Roman" w:ascii="Times New Roman" w:hAnsi="Times New Roman" w:eastAsiaTheme="minorEastAsia"/>
          <w:iCs/>
        </w:rPr>
        <w:t>9) W przypadku planowanej dłuższej nieobecności w lokalu, użytkownik powinien pisemnie powiadomić        o tym Spółkę, podając okres czasu przewidywanej nieobecności. Jeżeli użytkownik dokona takiego powiadomienia, do rozliczeń przyjmuje się minimalną wielkość zużycia wody, tj. 1 m³. Jeżeli użytkownik nie dokona takiego powiadomienia, rozliczenia prowadzi się jak dla lokalu nieopomiarowanego.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iCs/>
        </w:rPr>
      </w:pPr>
      <w:r>
        <w:rPr>
          <w:rFonts w:eastAsia="" w:cs="Times New Roman" w:eastAsiaTheme="minorEastAsia"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cs="Times New Roman" w:ascii="Times New Roman" w:hAnsi="Times New Roman" w:eastAsiaTheme="minorEastAsia"/>
        </w:rPr>
        <w:t>10) W przypadku lokali / użytkowników korzystających  z wspólnego, znajdującego się na korytarzu WC, koszt dostarczonej wody/odprowadzonych ścieków rozliczony będzie proporcjonalnie do ilości osób zamieszkujących w tych lokalach.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cs="Times New Roman" w:ascii="Times New Roman" w:hAnsi="Times New Roman" w:eastAsiaTheme="minorEastAsia"/>
        </w:rPr>
        <w:t>11) Użytkownicy wspólnych WC z zamontowanymi wodomierzami ponoszą solidarną odpowiedzialność za jego właściwe zabezpieczenie przed uszkodzeniem lub kradzieżą.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cs="Times New Roman" w:ascii="Times New Roman" w:hAnsi="Times New Roman" w:eastAsiaTheme="minorEastAsia"/>
        </w:rPr>
        <w:t>12)  Użytkownik lokalu nie może: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" w:cs="Times New Roman" w:ascii="Times New Roman" w:hAnsi="Times New Roman" w:eastAsiaTheme="minorEastAsia"/>
        </w:rPr>
        <w:t>a)  dokonywać montażu ani wymiany wodomierza we własnym zakresie, bez uzyskania zgody Zarządcy,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cs="Times New Roman" w:ascii="Times New Roman" w:hAnsi="Times New Roman" w:eastAsiaTheme="minorEastAsia"/>
        </w:rPr>
        <w:t>b)  dokonywać zmiany usytuowania wodomierza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b/>
          <w:b/>
          <w:bCs/>
        </w:rPr>
      </w:pPr>
      <w:r>
        <w:rPr>
          <w:rFonts w:eastAsia="" w:cs="Times New Roman" w:eastAsiaTheme="minorEastAsia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cs="Times New Roman" w:ascii="Times New Roman" w:hAnsi="Times New Roman" w:eastAsiaTheme="minorEastAsia"/>
        </w:rPr>
        <w:t xml:space="preserve">13) Koszt wymiany uszkodzonego wodomierza z winy użytkownika - ponosi użytkownik.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cs="Times New Roman" w:ascii="Times New Roman" w:hAnsi="Times New Roman" w:eastAsiaTheme="minorEastAsia"/>
        </w:rPr>
        <w:t>Również w przypadku stwierdzenia samowolnego zerwania plomb użytkownik obciążony zostanie kosztami ponownego plombowania.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14) Opłaty abonamentowe ponoszone na rzecz Dostawcy rozliczane  są  wg ilości lokali w budynku.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Obowiązki </w:t>
      </w:r>
      <w:r>
        <w:rPr>
          <w:rFonts w:cs="Times New Roman" w:ascii="Times New Roman" w:hAnsi="Times New Roman"/>
          <w:b/>
        </w:rPr>
        <w:t>ZBM Sp. z o.o. w Piławie Górnej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188_3640619450"/>
      <w:r>
        <w:rPr>
          <w:rFonts w:cs="Times New Roman" w:ascii="Times New Roman" w:hAnsi="Times New Roman"/>
          <w:b/>
          <w:bCs/>
        </w:rPr>
        <w:t>§ 5</w:t>
      </w:r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1) Obowiązki Spółki w zakresie rozliczeń z użytkownikiem lokalu 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prowadzenie ewidencji wodomierzy indywidualnych, która zawiera w szczególności: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- nr wodomierzy,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- datę montażu (legalizacji),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- stany wodomierzy.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iCs/>
        </w:rPr>
        <w:t>rejestracja odczytów wodomierzy zgodnie z ustalonym harmonogramem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 xml:space="preserve">dokonywanie rozliczeń z użytkownikami lokali według wskazań wodomierzy indywidualnych lub według norm zużycia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iCs/>
        </w:rPr>
        <w:t>podejmowanie działań mających na celu eliminowanie wszelkich różnic oraz nieprawidłowości, ze szczególnym uwzględnieniem występujących nieopomiarowanych podłączeń poboru wody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protokolarne potwierdzanie czynności związanych z demontażem, montażem, wymianą, rozplombowaniem, plombowaniem i odczytem stanu wodomierza indywidualnego;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iCs/>
        </w:rPr>
        <w:t>prowadzenie wyrywkowej kontroli stanu instalacji wodnej, urządzeń czerpiących wodę oraz urządzeń pomiarowych szczególnie w budynkach, w których występują duże straty wody.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b/>
          <w:bCs/>
          <w:iCs/>
        </w:rPr>
        <w:t>Postanowienia końcowe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b/>
          <w:bCs/>
          <w:iCs/>
        </w:rPr>
        <w:t>§ 6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1) W przypadkach nie przewidzianych w niniejszym Regulaminie rozliczenie może nastąpić w oparciu          o indywidualną decyzję Zarządu Spółki.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2) Wprowadzenie zasad rozliczeń za dostarczoną zimną wodę i odprowadzenie ścieków wymaga </w:t>
      </w:r>
      <w:r>
        <w:rPr>
          <w:rFonts w:eastAsia="" w:cs="Times New Roman" w:ascii="Times New Roman" w:hAnsi="Times New Roman" w:eastAsiaTheme="minorEastAsia"/>
        </w:rPr>
        <w:t xml:space="preserve">pisemnego zawiadomienia zarówno najemców jak i właścicieli lokali. 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3) Treść Regulaminu zostanie udostępniona do wglądu wszystkim zainteresowanym w siedzibie Zarządu Budynków Mieszkalnych Sp. z o.o. w Piławie Górnej oraz na stronie internetowej </w:t>
      </w:r>
      <w:hyperlink r:id="rId2">
        <w:r>
          <w:rPr>
            <w:rStyle w:val="Czeinternetowe"/>
            <w:rFonts w:cs="Times New Roman" w:ascii="Times New Roman" w:hAnsi="Times New Roman"/>
          </w:rPr>
          <w:t>www.zbmpilawagorna.pl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</w:rPr>
        <w:t>4) Regulamin wchodzi w życie z dniem podpisania. Tracą moc regulaminy obowiązujące wcześniej.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</w:rPr>
        <w:t xml:space="preserve">Pława Górna, </w:t>
      </w:r>
      <w:r>
        <w:rPr>
          <w:rFonts w:cs="Times New Roman" w:ascii="Times New Roman" w:hAnsi="Times New Roman"/>
        </w:rPr>
        <w:t>14.12.2021r</w:t>
      </w:r>
      <w:r>
        <w:rPr>
          <w:rFonts w:cs="Times New Roman" w:ascii="Times New Roman" w:hAnsi="Times New Roman"/>
        </w:rPr>
        <w:t xml:space="preserve">          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</w:rPr>
        <w:t xml:space="preserve">     </w:t>
      </w:r>
      <w:r>
        <w:rPr>
          <w:rFonts w:cs="Times New Roman" w:ascii="Times New Roman" w:hAnsi="Times New Roman"/>
          <w:i/>
          <w:iCs/>
        </w:rPr>
        <w:t>Zatwierdził</w:t>
      </w:r>
    </w:p>
    <w:p>
      <w:pPr>
        <w:pStyle w:val="Normal"/>
        <w:widowControl/>
        <w:bidi w:val="0"/>
        <w:spacing w:lineRule="auto" w:line="240" w:before="0" w:after="200"/>
        <w:jc w:val="left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Bodnarczuk Agnieszka</w:t>
      </w:r>
    </w:p>
    <w:p>
      <w:pPr>
        <w:pStyle w:val="Normal"/>
        <w:widowControl/>
        <w:bidi w:val="0"/>
        <w:spacing w:lineRule="auto" w:line="240" w:before="0" w:after="200"/>
        <w:jc w:val="left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</w:rPr>
        <w:t xml:space="preserve">  </w:t>
      </w:r>
      <w:r>
        <w:rPr>
          <w:rFonts w:cs="Times New Roman" w:ascii="Times New Roman" w:hAnsi="Times New Roman"/>
          <w:i/>
          <w:iCs/>
        </w:rPr>
        <w:t>Prezes Zarządu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</w:t>
      </w:r>
    </w:p>
    <w:sectPr>
      <w:headerReference w:type="default" r:id="rId3"/>
      <w:footerReference w:type="default" r:id="rId4"/>
      <w:type w:val="nextPage"/>
      <w:pgSz w:w="11906" w:h="16838"/>
      <w:pgMar w:left="1418" w:right="851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3694298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63112511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Tytuł"/>
    </w:sdtPr>
    <w:sdtContent>
      <w:p>
        <w:pPr>
          <w:pStyle w:val="Gwka"/>
          <w:pBdr>
            <w:bottom w:val="thickThinSmallGap" w:sz="24" w:space="1" w:color="622423"/>
          </w:pBdr>
          <w:jc w:val="center"/>
          <w:rPr/>
        </w:pPr>
        <w:r>
          <w:rPr>
            <w:rFonts w:eastAsia="" w:cs="Times New Roman" w:ascii="Times New Roman" w:hAnsi="Times New Roman" w:eastAsiaTheme="majorEastAsia"/>
            <w:i/>
            <w:sz w:val="14"/>
            <w:szCs w:val="14"/>
          </w:rPr>
          <w:t>REGULAMIN rozliczania kosztów dostarczonej wody i odprowadzonych ścieków w lokalach mieszkalnych i użytkowych zarządzanych przez                                                    ZBM Sp. z o.o. w Piławie Górnej</w:t>
        </w:r>
      </w:p>
    </w:sdtContent>
  </w:sdt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6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331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e6ed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e6ed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3705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3705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631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Times New Roman" w:hAnsi="Times New Roman"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Times New Roman" w:hAnsi="Times New Roman" w:cs="Wingdings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Times New Roman" w:hAnsi="Times New Roman"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Times New Roman" w:hAnsi="Times New Roman"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45">
    <w:name w:val="ListLabel 45"/>
    <w:qFormat/>
    <w:rPr>
      <w:rFonts w:ascii="Times New Roman" w:hAnsi="Times New Roman" w:cs="Wingdings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OpenSymbol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64">
    <w:name w:val="ListLabel 64"/>
    <w:qFormat/>
    <w:rPr>
      <w:rFonts w:ascii="Calibri" w:hAnsi="Calibri" w:cs="Wingdings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Times New Roman" w:hAnsi="Times New Roman"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Times New Roman" w:hAnsi="Times New Roman" w:cs="OpenSymbol"/>
    </w:rPr>
  </w:style>
  <w:style w:type="character" w:styleId="ListLabel83">
    <w:name w:val="ListLabel 83"/>
    <w:qFormat/>
    <w:rPr>
      <w:rFonts w:ascii="Times New Roman" w:hAnsi="Times New Roman" w:cs="Times New Roman"/>
    </w:rPr>
  </w:style>
  <w:style w:type="character" w:styleId="ListLabel84">
    <w:name w:val="ListLabel 84"/>
    <w:qFormat/>
    <w:rPr>
      <w:rFonts w:ascii="Calibri" w:hAnsi="Calibri" w:cs="Wingdings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ascii="Times New Roman" w:hAnsi="Times New Roman"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ascii="Times New Roman" w:hAnsi="Times New Roman" w:cs="OpenSymbol"/>
    </w:rPr>
  </w:style>
  <w:style w:type="character" w:styleId="ListLabel103">
    <w:name w:val="ListLabel 103"/>
    <w:qFormat/>
    <w:rPr>
      <w:rFonts w:ascii="Times New Roman" w:hAnsi="Times New Roman" w:cs="Times New Roman"/>
    </w:rPr>
  </w:style>
  <w:style w:type="character" w:styleId="ListLabel104">
    <w:name w:val="ListLabel 104"/>
    <w:qFormat/>
    <w:rPr>
      <w:rFonts w:ascii="Calibri" w:hAnsi="Calibri" w:cs="Wingdings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Times New Roman" w:hAnsi="Times New Roman"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ascii="Times New Roman" w:hAnsi="Times New Roman" w:cs="OpenSymbol"/>
    </w:rPr>
  </w:style>
  <w:style w:type="character" w:styleId="ListLabel123">
    <w:name w:val="ListLabel 123"/>
    <w:qFormat/>
    <w:rPr>
      <w:rFonts w:ascii="Times New Roman" w:hAnsi="Times New Roman" w:cs="Times New Roman"/>
    </w:rPr>
  </w:style>
  <w:style w:type="character" w:styleId="ListLabel124">
    <w:name w:val="ListLabel 124"/>
    <w:qFormat/>
    <w:rPr>
      <w:rFonts w:ascii="Calibri" w:hAnsi="Calibri"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ascii="Times New Roman" w:hAnsi="Times New Roman"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ascii="Times New Roman" w:hAnsi="Times New Roman" w:cs="OpenSymbol"/>
    </w:rPr>
  </w:style>
  <w:style w:type="character" w:styleId="ListLabel143">
    <w:name w:val="ListLabel 143"/>
    <w:qFormat/>
    <w:rPr>
      <w:rFonts w:ascii="Times New Roman" w:hAnsi="Times New Roman" w:cs="Times New Roman"/>
    </w:rPr>
  </w:style>
  <w:style w:type="character" w:styleId="ListLabel144">
    <w:name w:val="ListLabel 144"/>
    <w:qFormat/>
    <w:rPr>
      <w:rFonts w:ascii="Calibri" w:hAnsi="Calibri" w:cs="Wingdings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ascii="Times New Roman" w:hAnsi="Times New Roman"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ascii="Times New Roman" w:hAnsi="Times New Roman" w:cs="OpenSymbol"/>
    </w:rPr>
  </w:style>
  <w:style w:type="character" w:styleId="ListLabel163">
    <w:name w:val="ListLabel 163"/>
    <w:qFormat/>
    <w:rPr>
      <w:rFonts w:ascii="Times New Roman" w:hAnsi="Times New Roman" w:cs="Times New Roman"/>
    </w:rPr>
  </w:style>
  <w:style w:type="character" w:styleId="ListLabel164">
    <w:name w:val="ListLabel 164"/>
    <w:qFormat/>
    <w:rPr>
      <w:rFonts w:ascii="Calibri" w:hAnsi="Calibri" w:cs="Wingdings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ascii="Times New Roman" w:hAnsi="Times New Roman" w:cs="Courier New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ascii="Times New Roman" w:hAnsi="Times New Roman" w:cs="OpenSymbol"/>
    </w:rPr>
  </w:style>
  <w:style w:type="character" w:styleId="ListLabel183">
    <w:name w:val="ListLabel 183"/>
    <w:qFormat/>
    <w:rPr>
      <w:rFonts w:ascii="Times New Roman" w:hAnsi="Times New Roman" w:cs="Times New Roman"/>
    </w:rPr>
  </w:style>
  <w:style w:type="character" w:styleId="ListLabel184">
    <w:name w:val="ListLabel 184"/>
    <w:qFormat/>
    <w:rPr>
      <w:rFonts w:ascii="Calibri" w:hAnsi="Calibri" w:cs="Wingdings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ascii="Times New Roman" w:hAnsi="Times New Roman" w:cs="Courier New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ascii="Times New Roman" w:hAnsi="Times New Roman" w:cs="OpenSymbol"/>
    </w:rPr>
  </w:style>
  <w:style w:type="character" w:styleId="ListLabel203">
    <w:name w:val="ListLabel 203"/>
    <w:qFormat/>
    <w:rPr>
      <w:rFonts w:ascii="Times New Roman" w:hAnsi="Times New Roman" w:cs="Times New Roman"/>
    </w:rPr>
  </w:style>
  <w:style w:type="character" w:styleId="ListLabel204">
    <w:name w:val="ListLabel 204"/>
    <w:qFormat/>
    <w:rPr>
      <w:rFonts w:ascii="Calibri" w:hAnsi="Calibri" w:cs="Wingdings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ascii="Times New Roman" w:hAnsi="Times New Roman" w:cs="Courier New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ascii="Times New Roman" w:hAnsi="Times New Roman" w:cs="OpenSymbol"/>
    </w:rPr>
  </w:style>
  <w:style w:type="character" w:styleId="ListLabel223">
    <w:name w:val="ListLabel 223"/>
    <w:qFormat/>
    <w:rPr>
      <w:rFonts w:ascii="Times New Roman" w:hAnsi="Times New Roman" w:cs="Times New Roman"/>
    </w:rPr>
  </w:style>
  <w:style w:type="character" w:styleId="ListLabel224">
    <w:name w:val="ListLabel 224"/>
    <w:qFormat/>
    <w:rPr>
      <w:rFonts w:ascii="Calibri" w:hAnsi="Calibri" w:cs="Wingdings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ascii="Times New Roman" w:hAnsi="Times New Roman" w:cs="Courier New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ascii="Times New Roman" w:hAnsi="Times New Roman" w:cs="OpenSymbol"/>
    </w:rPr>
  </w:style>
  <w:style w:type="character" w:styleId="ListLabel243">
    <w:name w:val="ListLabel 243"/>
    <w:qFormat/>
    <w:rPr>
      <w:rFonts w:ascii="Times New Roman" w:hAnsi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c678a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e6ed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3705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3705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631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121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bmpilawagorna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BCFF93007046C8982D2F96A0828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E48AD-FE9F-4BA0-8EE2-102395B1731B}"/>
      </w:docPartPr>
      <w:docPartBody>
        <w:p w:rsidR="00333BED" w:rsidRDefault="009D342D" w:rsidP="009D342D">
          <w:pPr>
            <w:pStyle w:val="5FBCFF93007046C8982D2F96A0828B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00C89"/>
    <w:rsid w:val="00200C89"/>
    <w:rsid w:val="00333BED"/>
    <w:rsid w:val="00704B4C"/>
    <w:rsid w:val="009D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5661114A54283BF23FA795806F3A3">
    <w:name w:val="E2F5661114A54283BF23FA795806F3A3"/>
    <w:rsid w:val="00200C89"/>
  </w:style>
  <w:style w:type="paragraph" w:customStyle="1" w:styleId="B72DA9F51BC6458D883755E6A5983165">
    <w:name w:val="B72DA9F51BC6458D883755E6A5983165"/>
    <w:rsid w:val="00200C89"/>
  </w:style>
  <w:style w:type="paragraph" w:customStyle="1" w:styleId="7560BB8673FA4F459D768652F851B3D1">
    <w:name w:val="7560BB8673FA4F459D768652F851B3D1"/>
    <w:rsid w:val="00200C89"/>
  </w:style>
  <w:style w:type="paragraph" w:customStyle="1" w:styleId="5FBCFF93007046C8982D2F96A0828B77">
    <w:name w:val="5FBCFF93007046C8982D2F96A0828B77"/>
    <w:rsid w:val="009D34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BB68-7156-4E21-923D-1EA47BB3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Application>LibreOffice/6.0.4.2$Windows_X86_64 LibreOffice_project/9b0d9b32d5dcda91d2f1a96dc04c645c450872bf</Application>
  <Pages>5</Pages>
  <Words>1586</Words>
  <Characters>10244</Characters>
  <CharactersWithSpaces>12192</CharactersWithSpaces>
  <Paragraphs>108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2021-11-28T16:42:00Z</dcterms:created>
  <dc:creator>annie</dc:creator>
  <dc:description/>
  <dc:language>pl-PL</dc:language>
  <cp:lastModifiedBy/>
  <cp:lastPrinted>2021-12-14T06:16:42Z</cp:lastPrinted>
  <dcterms:modified xsi:type="dcterms:W3CDTF">2022-01-27T09:50:35Z</dcterms:modified>
  <cp:revision>42</cp:revision>
  <dc:subject/>
  <dc:title>REGULAMIN Rozliczania kosztów dostarczonej wody i odprowadzonych ścieków w lokalach mieszkalnych i użytkowych zarządzanych przez                                                    ZBM Sp. z o.o. w Piławie Górnej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